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0E09B5" w14:textId="77777777" w:rsidR="00C45DF0" w:rsidRDefault="00C45DF0" w:rsidP="00C45DF0">
      <w:pPr>
        <w:spacing w:before="100" w:beforeAutospacing="1" w:after="100" w:afterAutospacing="1" w:line="240" w:lineRule="auto"/>
        <w:rPr>
          <w:rFonts w:ascii="Times New Roman" w:eastAsia="Times New Roman" w:hAnsi="Times New Roman" w:cs="Times New Roman"/>
          <w:sz w:val="24"/>
          <w:szCs w:val="24"/>
          <w:lang w:val="en-US" w:eastAsia="pl-PL"/>
        </w:rPr>
      </w:pPr>
      <w:r>
        <w:rPr>
          <w:rFonts w:ascii="Times New Roman" w:eastAsia="Times New Roman" w:hAnsi="Times New Roman" w:cs="Times New Roman"/>
          <w:sz w:val="24"/>
          <w:szCs w:val="24"/>
          <w:lang w:val="en-US" w:eastAsia="pl-PL"/>
        </w:rPr>
        <w:t>Dr.</w:t>
      </w:r>
      <w:r w:rsidRPr="00C45DF0">
        <w:rPr>
          <w:rFonts w:ascii="Times New Roman" w:eastAsia="Times New Roman" w:hAnsi="Times New Roman" w:cs="Times New Roman"/>
          <w:sz w:val="24"/>
          <w:szCs w:val="24"/>
          <w:lang w:val="en-US" w:eastAsia="pl-PL"/>
        </w:rPr>
        <w:t xml:space="preserve"> Maciej D. </w:t>
      </w:r>
      <w:proofErr w:type="spellStart"/>
      <w:r w:rsidRPr="00C45DF0">
        <w:rPr>
          <w:rFonts w:ascii="Times New Roman" w:eastAsia="Times New Roman" w:hAnsi="Times New Roman" w:cs="Times New Roman"/>
          <w:sz w:val="24"/>
          <w:szCs w:val="24"/>
          <w:lang w:val="en-US" w:eastAsia="pl-PL"/>
        </w:rPr>
        <w:t>Korzyński</w:t>
      </w:r>
      <w:proofErr w:type="spellEnd"/>
      <w:r w:rsidRPr="00C45DF0">
        <w:rPr>
          <w:rFonts w:ascii="Times New Roman" w:eastAsia="Times New Roman" w:hAnsi="Times New Roman" w:cs="Times New Roman"/>
          <w:sz w:val="24"/>
          <w:szCs w:val="24"/>
          <w:lang w:val="en-US" w:eastAsia="pl-PL"/>
        </w:rPr>
        <w:t>, Assistant Professor of Synthetic Inorganic Chemistry</w:t>
      </w:r>
      <w:r w:rsidRPr="00C45DF0">
        <w:rPr>
          <w:rFonts w:ascii="Times New Roman" w:eastAsia="Times New Roman" w:hAnsi="Times New Roman" w:cs="Times New Roman"/>
          <w:sz w:val="24"/>
          <w:szCs w:val="24"/>
          <w:lang w:val="en-US" w:eastAsia="pl-PL"/>
        </w:rPr>
        <w:t xml:space="preserve"> </w:t>
      </w:r>
    </w:p>
    <w:p w14:paraId="5CB4B199" w14:textId="3D99BDAA" w:rsidR="00C45DF0" w:rsidRPr="00C45DF0" w:rsidRDefault="00C45DF0" w:rsidP="00C45DF0">
      <w:pPr>
        <w:spacing w:before="100" w:beforeAutospacing="1" w:after="100" w:afterAutospacing="1" w:line="240" w:lineRule="auto"/>
        <w:rPr>
          <w:rFonts w:ascii="Times New Roman" w:eastAsia="Times New Roman" w:hAnsi="Times New Roman" w:cs="Times New Roman"/>
          <w:sz w:val="24"/>
          <w:szCs w:val="24"/>
          <w:lang w:val="en-US" w:eastAsia="pl-PL"/>
        </w:rPr>
      </w:pPr>
      <w:r w:rsidRPr="00C45DF0">
        <w:rPr>
          <w:rFonts w:ascii="Times New Roman" w:eastAsia="Times New Roman" w:hAnsi="Times New Roman" w:cs="Times New Roman"/>
          <w:sz w:val="24"/>
          <w:szCs w:val="24"/>
          <w:lang w:val="en-US" w:eastAsia="pl-PL"/>
        </w:rPr>
        <w:t>University of Toronto</w:t>
      </w:r>
    </w:p>
    <w:p w14:paraId="1B0E29C7" w14:textId="77777777" w:rsidR="00C45DF0" w:rsidRPr="00C45DF0" w:rsidRDefault="00C45DF0" w:rsidP="00C45DF0">
      <w:pPr>
        <w:spacing w:before="100" w:beforeAutospacing="1" w:after="100" w:afterAutospacing="1" w:line="240" w:lineRule="auto"/>
        <w:rPr>
          <w:rFonts w:ascii="Times New Roman" w:eastAsia="Times New Roman" w:hAnsi="Times New Roman" w:cs="Times New Roman"/>
          <w:sz w:val="24"/>
          <w:szCs w:val="24"/>
          <w:lang w:val="en-US" w:eastAsia="pl-PL"/>
        </w:rPr>
      </w:pPr>
      <w:r w:rsidRPr="00C45DF0">
        <w:rPr>
          <w:rFonts w:ascii="Times New Roman" w:eastAsia="Times New Roman" w:hAnsi="Times New Roman" w:cs="Times New Roman"/>
          <w:b/>
          <w:bCs/>
          <w:sz w:val="24"/>
          <w:szCs w:val="24"/>
          <w:lang w:val="en-US" w:eastAsia="pl-PL"/>
        </w:rPr>
        <w:t>Talk title:</w:t>
      </w:r>
      <w:r w:rsidRPr="00C45DF0">
        <w:rPr>
          <w:rFonts w:ascii="Times New Roman" w:eastAsia="Times New Roman" w:hAnsi="Times New Roman" w:cs="Times New Roman"/>
          <w:sz w:val="24"/>
          <w:szCs w:val="24"/>
          <w:lang w:val="en-US" w:eastAsia="pl-PL"/>
        </w:rPr>
        <w:t xml:space="preserve"> High surface area materials as unique supports for functional coordination entities.</w:t>
      </w:r>
    </w:p>
    <w:p w14:paraId="26BBA419" w14:textId="14CBE014" w:rsidR="00A54A59" w:rsidRPr="00C16248" w:rsidRDefault="00162E1C" w:rsidP="00E462BD">
      <w:pPr>
        <w:jc w:val="both"/>
        <w:rPr>
          <w:lang w:val="en-US"/>
        </w:rPr>
      </w:pPr>
      <w:r w:rsidRPr="00C16248">
        <w:rPr>
          <w:b/>
          <w:bCs/>
          <w:lang w:val="en-US"/>
        </w:rPr>
        <w:t>Abstract:</w:t>
      </w:r>
      <w:r w:rsidR="007C78C1" w:rsidRPr="00C16248">
        <w:rPr>
          <w:lang w:val="en-US"/>
        </w:rPr>
        <w:t xml:space="preserve"> </w:t>
      </w:r>
      <w:r w:rsidR="00E462BD" w:rsidRPr="00C16248">
        <w:rPr>
          <w:lang w:val="en-US"/>
        </w:rPr>
        <w:t>One of the key aspects of coordination chemistry is the judicious selection of ligands, which complete the metal center’s coordination sphere and tailor the electronic as well as steric properties of the complex. While typical ligands are small organic molecules, the growing need for surface immobilization of metal complexes (e.g., heterogenization of homogeneous catalysts) prompted exploration of solid-state materials as potential ligands</w:t>
      </w:r>
      <w:r w:rsidR="000B3ECA" w:rsidRPr="00C16248">
        <w:rPr>
          <w:lang w:val="en-US"/>
        </w:rPr>
        <w:t>.</w:t>
      </w:r>
      <w:r w:rsidR="00512B71" w:rsidRPr="00C16248">
        <w:rPr>
          <w:lang w:val="en-US"/>
        </w:rPr>
        <w:t xml:space="preserve"> In this context, surface organometallic chemistry (SOMC) emerged as a comprehensive</w:t>
      </w:r>
      <w:r w:rsidR="00132BA3" w:rsidRPr="00C16248">
        <w:rPr>
          <w:lang w:val="en-US"/>
        </w:rPr>
        <w:t xml:space="preserve"> </w:t>
      </w:r>
      <w:r w:rsidR="006D016A">
        <w:rPr>
          <w:lang w:val="en-US"/>
        </w:rPr>
        <w:t>strategy</w:t>
      </w:r>
      <w:r w:rsidR="00132BA3" w:rsidRPr="00C16248">
        <w:rPr>
          <w:lang w:val="en-US"/>
        </w:rPr>
        <w:t xml:space="preserve"> for</w:t>
      </w:r>
      <w:r w:rsidR="00D44644">
        <w:rPr>
          <w:lang w:val="en-US"/>
        </w:rPr>
        <w:t xml:space="preserve"> the</w:t>
      </w:r>
      <w:r w:rsidR="00B16601">
        <w:rPr>
          <w:lang w:val="en-US"/>
        </w:rPr>
        <w:t xml:space="preserve"> </w:t>
      </w:r>
      <w:r w:rsidR="00E65A74">
        <w:rPr>
          <w:lang w:val="en-US"/>
        </w:rPr>
        <w:t>preparation</w:t>
      </w:r>
      <w:r w:rsidR="00132BA3" w:rsidRPr="00C16248">
        <w:rPr>
          <w:lang w:val="en-US"/>
        </w:rPr>
        <w:t xml:space="preserve"> of well-defined surface-bound coordination entities</w:t>
      </w:r>
      <w:r w:rsidR="009A3753" w:rsidRPr="00C16248">
        <w:rPr>
          <w:lang w:val="en-US"/>
        </w:rPr>
        <w:t xml:space="preserve"> that involves</w:t>
      </w:r>
      <w:r w:rsidR="007766D6">
        <w:rPr>
          <w:lang w:val="en-US"/>
        </w:rPr>
        <w:t xml:space="preserve"> a</w:t>
      </w:r>
      <w:r w:rsidR="009A3753" w:rsidRPr="00C16248">
        <w:rPr>
          <w:lang w:val="en-US"/>
        </w:rPr>
        <w:t xml:space="preserve"> careful pre-treatment of the supporting material</w:t>
      </w:r>
      <w:r w:rsidR="0075412D" w:rsidRPr="00C16248">
        <w:rPr>
          <w:lang w:val="en-US"/>
        </w:rPr>
        <w:t xml:space="preserve"> (typically</w:t>
      </w:r>
      <w:r w:rsidR="00AA5A12" w:rsidRPr="00C16248">
        <w:rPr>
          <w:lang w:val="en-US"/>
        </w:rPr>
        <w:t xml:space="preserve"> an </w:t>
      </w:r>
      <w:r w:rsidR="0075412D" w:rsidRPr="00C16248">
        <w:rPr>
          <w:lang w:val="en-US"/>
        </w:rPr>
        <w:t>oxide)</w:t>
      </w:r>
      <w:r w:rsidR="00B755AE">
        <w:rPr>
          <w:lang w:val="en-US"/>
        </w:rPr>
        <w:t xml:space="preserve"> leading to</w:t>
      </w:r>
      <w:r w:rsidR="001A22B7">
        <w:rPr>
          <w:lang w:val="en-US"/>
        </w:rPr>
        <w:t xml:space="preserve"> a</w:t>
      </w:r>
      <w:r w:rsidR="00B755AE">
        <w:rPr>
          <w:lang w:val="en-US"/>
        </w:rPr>
        <w:t xml:space="preserve"> ligand-like behavior</w:t>
      </w:r>
      <w:r w:rsidR="009A3753" w:rsidRPr="00C16248">
        <w:rPr>
          <w:lang w:val="en-US"/>
        </w:rPr>
        <w:t>,</w:t>
      </w:r>
      <w:r w:rsidR="007766D6">
        <w:rPr>
          <w:lang w:val="en-US"/>
        </w:rPr>
        <w:t xml:space="preserve"> a</w:t>
      </w:r>
      <w:r w:rsidR="009A3753" w:rsidRPr="00C16248">
        <w:rPr>
          <w:lang w:val="en-US"/>
        </w:rPr>
        <w:t xml:space="preserve"> controlled </w:t>
      </w:r>
      <w:r w:rsidR="009B291B">
        <w:rPr>
          <w:lang w:val="en-US"/>
        </w:rPr>
        <w:t>deposition</w:t>
      </w:r>
      <w:r w:rsidR="009A3753" w:rsidRPr="00C16248">
        <w:rPr>
          <w:lang w:val="en-US"/>
        </w:rPr>
        <w:t xml:space="preserve"> of</w:t>
      </w:r>
      <w:r w:rsidR="00CB7190" w:rsidRPr="00C16248">
        <w:rPr>
          <w:lang w:val="en-US"/>
        </w:rPr>
        <w:t xml:space="preserve"> a</w:t>
      </w:r>
      <w:r w:rsidR="009A3753" w:rsidRPr="00C16248">
        <w:rPr>
          <w:lang w:val="en-US"/>
        </w:rPr>
        <w:t xml:space="preserve"> tailored metal precursor</w:t>
      </w:r>
      <w:r w:rsidR="00CB3F2E" w:rsidRPr="00C16248">
        <w:rPr>
          <w:lang w:val="en-US"/>
        </w:rPr>
        <w:t>,</w:t>
      </w:r>
      <w:r w:rsidR="009A3753" w:rsidRPr="00C16248">
        <w:rPr>
          <w:lang w:val="en-US"/>
        </w:rPr>
        <w:t xml:space="preserve"> and</w:t>
      </w:r>
      <w:r w:rsidR="00AE55EB" w:rsidRPr="00C16248">
        <w:rPr>
          <w:lang w:val="en-US"/>
        </w:rPr>
        <w:t xml:space="preserve"> a</w:t>
      </w:r>
      <w:r w:rsidR="009A3753" w:rsidRPr="00C16248">
        <w:rPr>
          <w:lang w:val="en-US"/>
        </w:rPr>
        <w:t xml:space="preserve"> thorough characterization of the </w:t>
      </w:r>
      <w:r w:rsidR="00DA78B5" w:rsidRPr="00C16248">
        <w:rPr>
          <w:lang w:val="en-US"/>
        </w:rPr>
        <w:t>resulting</w:t>
      </w:r>
      <w:r w:rsidR="00D3017D" w:rsidRPr="00C16248">
        <w:rPr>
          <w:lang w:val="en-US"/>
        </w:rPr>
        <w:t xml:space="preserve"> metal sites</w:t>
      </w:r>
      <w:r w:rsidR="009A3753" w:rsidRPr="00C16248">
        <w:rPr>
          <w:lang w:val="en-US"/>
        </w:rPr>
        <w:t>.</w:t>
      </w:r>
      <w:r w:rsidR="00B65B55" w:rsidRPr="00C16248">
        <w:rPr>
          <w:lang w:val="en-US"/>
        </w:rPr>
        <w:t xml:space="preserve"> </w:t>
      </w:r>
    </w:p>
    <w:p w14:paraId="41A3E38A" w14:textId="4A7246F6" w:rsidR="008804BC" w:rsidRPr="00C16248" w:rsidRDefault="00460BA3" w:rsidP="002A04F3">
      <w:pPr>
        <w:jc w:val="both"/>
        <w:rPr>
          <w:lang w:val="en-US"/>
        </w:rPr>
      </w:pPr>
      <w:r w:rsidRPr="00C16248">
        <w:rPr>
          <w:lang w:val="en-US"/>
        </w:rPr>
        <w:t xml:space="preserve">In the first part of this talk I will introduce the </w:t>
      </w:r>
      <w:r w:rsidR="00F53665" w:rsidRPr="00C16248">
        <w:rPr>
          <w:lang w:val="en-US"/>
        </w:rPr>
        <w:t>SOMC approach and</w:t>
      </w:r>
      <w:r w:rsidR="002B78B1" w:rsidRPr="00C16248">
        <w:rPr>
          <w:lang w:val="en-US"/>
        </w:rPr>
        <w:t xml:space="preserve"> </w:t>
      </w:r>
      <w:r w:rsidR="006A3B9E" w:rsidRPr="00C16248">
        <w:rPr>
          <w:lang w:val="en-US"/>
        </w:rPr>
        <w:t xml:space="preserve">demonstrate </w:t>
      </w:r>
      <w:r w:rsidR="00BB3DAF" w:rsidRPr="00C16248">
        <w:rPr>
          <w:lang w:val="en-US"/>
        </w:rPr>
        <w:t xml:space="preserve">its utility in </w:t>
      </w:r>
      <w:r w:rsidR="0075412D" w:rsidRPr="00C16248">
        <w:rPr>
          <w:lang w:val="en-US"/>
        </w:rPr>
        <w:t>immobiliz</w:t>
      </w:r>
      <w:r w:rsidR="00C24B14" w:rsidRPr="00C16248">
        <w:rPr>
          <w:lang w:val="en-US"/>
        </w:rPr>
        <w:t>ation of</w:t>
      </w:r>
      <w:r w:rsidR="00033039">
        <w:rPr>
          <w:lang w:val="en-US"/>
        </w:rPr>
        <w:t xml:space="preserve"> a lanthanide-based</w:t>
      </w:r>
      <w:r w:rsidR="00C24B14" w:rsidRPr="00C16248">
        <w:rPr>
          <w:lang w:val="en-US"/>
        </w:rPr>
        <w:t xml:space="preserve"> single-molecule magnet </w:t>
      </w:r>
      <w:r w:rsidR="0075412D" w:rsidRPr="00C16248">
        <w:rPr>
          <w:lang w:val="en-US"/>
        </w:rPr>
        <w:t>on the surface of silica</w:t>
      </w:r>
      <w:r w:rsidR="0008318A" w:rsidRPr="00C16248">
        <w:rPr>
          <w:lang w:val="en-US"/>
        </w:rPr>
        <w:t xml:space="preserve"> (SiO</w:t>
      </w:r>
      <w:r w:rsidR="0008318A" w:rsidRPr="00C16248">
        <w:rPr>
          <w:vertAlign w:val="subscript"/>
          <w:lang w:val="en-US"/>
        </w:rPr>
        <w:t>2</w:t>
      </w:r>
      <w:r w:rsidR="0008318A" w:rsidRPr="00C16248">
        <w:rPr>
          <w:lang w:val="en-US"/>
        </w:rPr>
        <w:t>)</w:t>
      </w:r>
      <w:r w:rsidR="00C24B14" w:rsidRPr="00C16248">
        <w:rPr>
          <w:lang w:val="en-US"/>
        </w:rPr>
        <w:t>. Notably, the resulting well-defined surface sites show enhanced</w:t>
      </w:r>
      <w:r w:rsidR="00D11385" w:rsidRPr="00C16248">
        <w:rPr>
          <w:lang w:val="en-US"/>
        </w:rPr>
        <w:t xml:space="preserve"> magnetic relaxation</w:t>
      </w:r>
      <w:r w:rsidR="00C24B14" w:rsidRPr="00C16248">
        <w:rPr>
          <w:lang w:val="en-US"/>
        </w:rPr>
        <w:t xml:space="preserve"> </w:t>
      </w:r>
      <w:r w:rsidR="00D11385" w:rsidRPr="00C16248">
        <w:rPr>
          <w:lang w:val="en-US"/>
        </w:rPr>
        <w:t>characteristics</w:t>
      </w:r>
      <w:r w:rsidR="00C24B14" w:rsidRPr="00C16248">
        <w:rPr>
          <w:lang w:val="en-US"/>
        </w:rPr>
        <w:t xml:space="preserve"> compared to</w:t>
      </w:r>
      <w:r w:rsidR="00374E88">
        <w:rPr>
          <w:lang w:val="en-US"/>
        </w:rPr>
        <w:t xml:space="preserve"> </w:t>
      </w:r>
      <w:r w:rsidR="00C24B14" w:rsidRPr="00C16248">
        <w:rPr>
          <w:lang w:val="en-US"/>
        </w:rPr>
        <w:t xml:space="preserve">the </w:t>
      </w:r>
      <w:r w:rsidR="007742E4" w:rsidRPr="00C16248">
        <w:rPr>
          <w:lang w:val="en-US"/>
        </w:rPr>
        <w:t>molecular precursor</w:t>
      </w:r>
      <w:r w:rsidR="006245F7" w:rsidRPr="00C16248">
        <w:rPr>
          <w:lang w:val="en-US"/>
        </w:rPr>
        <w:t xml:space="preserve">. This </w:t>
      </w:r>
      <w:r w:rsidR="00BD5087">
        <w:rPr>
          <w:lang w:val="en-US"/>
        </w:rPr>
        <w:t>improvement</w:t>
      </w:r>
      <w:r w:rsidR="006245F7" w:rsidRPr="00C16248">
        <w:rPr>
          <w:lang w:val="en-US"/>
        </w:rPr>
        <w:t xml:space="preserve"> can be attributed to </w:t>
      </w:r>
      <w:r w:rsidR="00C24B14" w:rsidRPr="00C16248">
        <w:rPr>
          <w:lang w:val="en-US"/>
        </w:rPr>
        <w:t xml:space="preserve">specific electronic </w:t>
      </w:r>
      <w:r w:rsidR="00BD5087">
        <w:rPr>
          <w:lang w:val="en-US"/>
        </w:rPr>
        <w:t>properties</w:t>
      </w:r>
      <w:r w:rsidR="00C24B14" w:rsidRPr="00C16248">
        <w:rPr>
          <w:lang w:val="en-US"/>
        </w:rPr>
        <w:t xml:space="preserve"> of </w:t>
      </w:r>
      <w:r w:rsidR="003F6E0E" w:rsidRPr="00C16248">
        <w:rPr>
          <w:lang w:val="en-US"/>
        </w:rPr>
        <w:t>siloxide moieties present on the surface</w:t>
      </w:r>
      <w:r w:rsidR="00C24B14" w:rsidRPr="00C16248">
        <w:rPr>
          <w:lang w:val="en-US"/>
        </w:rPr>
        <w:t xml:space="preserve"> </w:t>
      </w:r>
      <w:r w:rsidR="003F6E0E" w:rsidRPr="00C16248">
        <w:rPr>
          <w:lang w:val="en-US"/>
        </w:rPr>
        <w:t>of silica</w:t>
      </w:r>
      <w:r w:rsidR="00C24B14" w:rsidRPr="00C16248">
        <w:rPr>
          <w:lang w:val="en-US"/>
        </w:rPr>
        <w:t xml:space="preserve">. </w:t>
      </w:r>
      <w:r w:rsidR="0075412D" w:rsidRPr="00C16248">
        <w:rPr>
          <w:lang w:val="en-US"/>
        </w:rPr>
        <w:t>The second part of the talk will</w:t>
      </w:r>
      <w:r w:rsidR="00E50D7F" w:rsidRPr="00C16248">
        <w:rPr>
          <w:lang w:val="en-US"/>
        </w:rPr>
        <w:t xml:space="preserve"> focus on</w:t>
      </w:r>
      <w:r w:rsidR="00EF6F6F" w:rsidRPr="00C16248">
        <w:rPr>
          <w:lang w:val="en-US"/>
        </w:rPr>
        <w:t xml:space="preserve"> </w:t>
      </w:r>
      <w:r w:rsidR="00E50D7F" w:rsidRPr="00C16248">
        <w:rPr>
          <w:lang w:val="en-US"/>
        </w:rPr>
        <w:t>metal</w:t>
      </w:r>
      <w:r w:rsidR="0045317A">
        <w:rPr>
          <w:lang w:val="en-US"/>
        </w:rPr>
        <w:t>-</w:t>
      </w:r>
      <w:r w:rsidR="00E50D7F" w:rsidRPr="00C16248">
        <w:rPr>
          <w:lang w:val="en-US"/>
        </w:rPr>
        <w:t>organic frameworks (MOFs)</w:t>
      </w:r>
      <w:r w:rsidR="003067FB" w:rsidRPr="00C16248">
        <w:rPr>
          <w:lang w:val="en-US"/>
        </w:rPr>
        <w:t xml:space="preserve"> as support</w:t>
      </w:r>
      <w:r w:rsidR="000600BB" w:rsidRPr="00C16248">
        <w:rPr>
          <w:lang w:val="en-US"/>
        </w:rPr>
        <w:t>s that can mimic the</w:t>
      </w:r>
      <w:r w:rsidR="004742F8" w:rsidRPr="00C16248">
        <w:rPr>
          <w:lang w:val="en-US"/>
        </w:rPr>
        <w:t xml:space="preserve"> chemical</w:t>
      </w:r>
      <w:r w:rsidR="000600BB" w:rsidRPr="00C16248">
        <w:rPr>
          <w:lang w:val="en-US"/>
        </w:rPr>
        <w:t xml:space="preserve"> behavior of metal oxides</w:t>
      </w:r>
      <w:r w:rsidR="00D5528F" w:rsidRPr="00C16248">
        <w:rPr>
          <w:lang w:val="en-US"/>
        </w:rPr>
        <w:t xml:space="preserve">, but </w:t>
      </w:r>
      <w:r w:rsidR="004742F8" w:rsidRPr="00C16248">
        <w:rPr>
          <w:lang w:val="en-US"/>
        </w:rPr>
        <w:t>boast highly-ordered</w:t>
      </w:r>
      <w:r w:rsidR="00A26141" w:rsidRPr="00C16248">
        <w:rPr>
          <w:lang w:val="en-US"/>
        </w:rPr>
        <w:t xml:space="preserve"> crystalline</w:t>
      </w:r>
      <w:r w:rsidR="004742F8" w:rsidRPr="00C16248">
        <w:rPr>
          <w:lang w:val="en-US"/>
        </w:rPr>
        <w:t xml:space="preserve"> structure</w:t>
      </w:r>
      <w:r w:rsidR="00644CE9" w:rsidRPr="00C16248">
        <w:rPr>
          <w:lang w:val="en-US"/>
        </w:rPr>
        <w:t>s</w:t>
      </w:r>
      <w:r w:rsidR="004742F8" w:rsidRPr="00C16248">
        <w:rPr>
          <w:lang w:val="en-US"/>
        </w:rPr>
        <w:t xml:space="preserve"> </w:t>
      </w:r>
      <w:r w:rsidR="00CC6044" w:rsidRPr="00C16248">
        <w:rPr>
          <w:lang w:val="en-US"/>
        </w:rPr>
        <w:t>that can be chemically altered in a selective fashion</w:t>
      </w:r>
      <w:r w:rsidR="004742F8" w:rsidRPr="00C16248">
        <w:rPr>
          <w:lang w:val="en-US"/>
        </w:rPr>
        <w:t xml:space="preserve">. </w:t>
      </w:r>
      <w:r w:rsidR="00812CB7" w:rsidRPr="00C16248">
        <w:rPr>
          <w:lang w:val="en-US"/>
        </w:rPr>
        <w:t>These properties are leveraged to activate methyltrioxorhenium for olefin metathesis reaction</w:t>
      </w:r>
      <w:r w:rsidR="00CC6044" w:rsidRPr="00C16248">
        <w:rPr>
          <w:lang w:val="en-US"/>
        </w:rPr>
        <w:t xml:space="preserve">, a first demonstration of such </w:t>
      </w:r>
      <w:r w:rsidR="00BD5100" w:rsidRPr="00C16248">
        <w:rPr>
          <w:lang w:val="en-US"/>
        </w:rPr>
        <w:t>behavior</w:t>
      </w:r>
      <w:r w:rsidR="00CC6044" w:rsidRPr="00C16248">
        <w:rPr>
          <w:lang w:val="en-US"/>
        </w:rPr>
        <w:t xml:space="preserve"> in</w:t>
      </w:r>
      <w:r w:rsidR="006E2769" w:rsidRPr="00C16248">
        <w:rPr>
          <w:lang w:val="en-US"/>
        </w:rPr>
        <w:t xml:space="preserve"> this class of materials</w:t>
      </w:r>
      <w:r w:rsidR="00E66C39" w:rsidRPr="00C16248">
        <w:rPr>
          <w:lang w:val="en-US"/>
        </w:rPr>
        <w:t>.</w:t>
      </w:r>
    </w:p>
    <w:p w14:paraId="243F1699" w14:textId="098096E6" w:rsidR="002A04F3" w:rsidRPr="00C16248" w:rsidRDefault="002A04F3" w:rsidP="002A04F3">
      <w:pPr>
        <w:jc w:val="both"/>
        <w:rPr>
          <w:lang w:val="en-US"/>
        </w:rPr>
      </w:pPr>
    </w:p>
    <w:sectPr w:rsidR="002A04F3" w:rsidRPr="00C16248">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altName w:val="Times New Roman PSMT"/>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723"/>
    <w:rsid w:val="00013CDE"/>
    <w:rsid w:val="00033039"/>
    <w:rsid w:val="000600BB"/>
    <w:rsid w:val="0008318A"/>
    <w:rsid w:val="00090EC0"/>
    <w:rsid w:val="000B3ECA"/>
    <w:rsid w:val="000B4738"/>
    <w:rsid w:val="000B772D"/>
    <w:rsid w:val="00132BA3"/>
    <w:rsid w:val="00162E1C"/>
    <w:rsid w:val="001A22B7"/>
    <w:rsid w:val="001B0E42"/>
    <w:rsid w:val="001B4BBA"/>
    <w:rsid w:val="001D596D"/>
    <w:rsid w:val="001D72F4"/>
    <w:rsid w:val="00240B38"/>
    <w:rsid w:val="002A04F3"/>
    <w:rsid w:val="002B78B1"/>
    <w:rsid w:val="003067FB"/>
    <w:rsid w:val="003140DD"/>
    <w:rsid w:val="00374E88"/>
    <w:rsid w:val="003D33BE"/>
    <w:rsid w:val="003F4C50"/>
    <w:rsid w:val="003F6E0E"/>
    <w:rsid w:val="00424C0D"/>
    <w:rsid w:val="0045317A"/>
    <w:rsid w:val="00457A64"/>
    <w:rsid w:val="00460BA3"/>
    <w:rsid w:val="004742F8"/>
    <w:rsid w:val="004F0782"/>
    <w:rsid w:val="005054AC"/>
    <w:rsid w:val="00512B71"/>
    <w:rsid w:val="00566D7C"/>
    <w:rsid w:val="006245F7"/>
    <w:rsid w:val="00644CE9"/>
    <w:rsid w:val="006A3B9E"/>
    <w:rsid w:val="006B756D"/>
    <w:rsid w:val="006D016A"/>
    <w:rsid w:val="006E2769"/>
    <w:rsid w:val="00717723"/>
    <w:rsid w:val="007272A3"/>
    <w:rsid w:val="0075412D"/>
    <w:rsid w:val="007742E4"/>
    <w:rsid w:val="00774EED"/>
    <w:rsid w:val="007766D6"/>
    <w:rsid w:val="007C78C1"/>
    <w:rsid w:val="007F55DD"/>
    <w:rsid w:val="00812CB7"/>
    <w:rsid w:val="008309B1"/>
    <w:rsid w:val="00845DF3"/>
    <w:rsid w:val="00876098"/>
    <w:rsid w:val="008804BC"/>
    <w:rsid w:val="008A0FD9"/>
    <w:rsid w:val="008A4A81"/>
    <w:rsid w:val="008B7292"/>
    <w:rsid w:val="008D39AB"/>
    <w:rsid w:val="008E3B0B"/>
    <w:rsid w:val="008E4BC7"/>
    <w:rsid w:val="008F6154"/>
    <w:rsid w:val="00930E4E"/>
    <w:rsid w:val="009541C6"/>
    <w:rsid w:val="00985CBC"/>
    <w:rsid w:val="009A3753"/>
    <w:rsid w:val="009B291B"/>
    <w:rsid w:val="009B4091"/>
    <w:rsid w:val="009B6624"/>
    <w:rsid w:val="009F0D88"/>
    <w:rsid w:val="00A23F62"/>
    <w:rsid w:val="00A26141"/>
    <w:rsid w:val="00A54A59"/>
    <w:rsid w:val="00A55306"/>
    <w:rsid w:val="00A60CA2"/>
    <w:rsid w:val="00AA5A12"/>
    <w:rsid w:val="00AC263E"/>
    <w:rsid w:val="00AE55EB"/>
    <w:rsid w:val="00B16601"/>
    <w:rsid w:val="00B332C5"/>
    <w:rsid w:val="00B61607"/>
    <w:rsid w:val="00B65B55"/>
    <w:rsid w:val="00B755AE"/>
    <w:rsid w:val="00B80869"/>
    <w:rsid w:val="00BA1DC7"/>
    <w:rsid w:val="00BB3DAF"/>
    <w:rsid w:val="00BD5087"/>
    <w:rsid w:val="00BD5100"/>
    <w:rsid w:val="00BE4BCA"/>
    <w:rsid w:val="00C03A7F"/>
    <w:rsid w:val="00C12593"/>
    <w:rsid w:val="00C16248"/>
    <w:rsid w:val="00C24B14"/>
    <w:rsid w:val="00C45C49"/>
    <w:rsid w:val="00C45DF0"/>
    <w:rsid w:val="00C9172A"/>
    <w:rsid w:val="00CB3F2E"/>
    <w:rsid w:val="00CB7190"/>
    <w:rsid w:val="00CC259C"/>
    <w:rsid w:val="00CC6044"/>
    <w:rsid w:val="00D11385"/>
    <w:rsid w:val="00D3017D"/>
    <w:rsid w:val="00D44644"/>
    <w:rsid w:val="00D5528F"/>
    <w:rsid w:val="00D61065"/>
    <w:rsid w:val="00D868E4"/>
    <w:rsid w:val="00DA78B5"/>
    <w:rsid w:val="00DC2563"/>
    <w:rsid w:val="00E04A4B"/>
    <w:rsid w:val="00E061A9"/>
    <w:rsid w:val="00E462BD"/>
    <w:rsid w:val="00E50D7F"/>
    <w:rsid w:val="00E65A74"/>
    <w:rsid w:val="00E66C39"/>
    <w:rsid w:val="00EC5C2C"/>
    <w:rsid w:val="00EE0EDB"/>
    <w:rsid w:val="00EF6F6F"/>
    <w:rsid w:val="00F1689E"/>
    <w:rsid w:val="00F267C0"/>
    <w:rsid w:val="00F27953"/>
    <w:rsid w:val="00F35253"/>
    <w:rsid w:val="00F40EEF"/>
    <w:rsid w:val="00F4754C"/>
    <w:rsid w:val="00F53665"/>
    <w:rsid w:val="00FA6845"/>
    <w:rsid w:val="00FC7224"/>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87784"/>
  <w15:chartTrackingRefBased/>
  <w15:docId w15:val="{326ECD77-E0DA-4F3F-B759-F0342CCFC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273</Words>
  <Characters>1641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Korzynski  Maciej Damian</dc:creator>
  <cp:keywords/>
  <dc:description/>
  <cp:lastModifiedBy>Janusz Lewiński</cp:lastModifiedBy>
  <cp:revision>2</cp:revision>
  <dcterms:created xsi:type="dcterms:W3CDTF">2024-06-18T22:21:00Z</dcterms:created>
  <dcterms:modified xsi:type="dcterms:W3CDTF">2024-06-18T22:21:00Z</dcterms:modified>
</cp:coreProperties>
</file>